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hAnsi="Arial" w:cs="Arial"/>
          <w:b/>
          <w:bCs/>
          <w:color w:val="2B3436"/>
          <w:sz w:val="27"/>
          <w:szCs w:val="27"/>
          <w:lang w:eastAsia="ru-RU"/>
        </w:rPr>
        <w:t> Санитарно-эпидемиологические правила и нормативы СанПиН 2.4.1.3049-13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hAnsi="Arial" w:cs="Arial"/>
          <w:b/>
          <w:bCs/>
          <w:color w:val="2B3436"/>
          <w:sz w:val="27"/>
          <w:szCs w:val="27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95E3E">
        <w:rPr>
          <w:rFonts w:ascii="Arial" w:hAnsi="Arial" w:cs="Arial"/>
          <w:b/>
          <w:bCs/>
          <w:color w:val="2B3436"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395E3E">
        <w:rPr>
          <w:rFonts w:ascii="Arial" w:hAnsi="Arial" w:cs="Arial"/>
          <w:b/>
          <w:bCs/>
          <w:color w:val="2B3436"/>
          <w:sz w:val="27"/>
          <w:szCs w:val="27"/>
          <w:lang w:eastAsia="ru-RU"/>
        </w:rPr>
        <w:br/>
        <w:t xml:space="preserve">от 15 мая </w:t>
      </w:r>
      <w:smartTag w:uri="urn:schemas-microsoft-com:office:smarttags" w:element="metricconverter">
        <w:smartTagPr>
          <w:attr w:name="ProductID" w:val="2013 г"/>
        </w:smartTagPr>
        <w:r w:rsidRPr="00395E3E">
          <w:rPr>
            <w:rFonts w:ascii="Arial" w:hAnsi="Arial" w:cs="Arial"/>
            <w:b/>
            <w:bCs/>
            <w:color w:val="2B3436"/>
            <w:sz w:val="27"/>
            <w:szCs w:val="27"/>
            <w:lang w:eastAsia="ru-RU"/>
          </w:rPr>
          <w:t>2013 г</w:t>
        </w:r>
      </w:smartTag>
      <w:r w:rsidRPr="00395E3E">
        <w:rPr>
          <w:rFonts w:ascii="Arial" w:hAnsi="Arial" w:cs="Arial"/>
          <w:b/>
          <w:bCs/>
          <w:color w:val="2B3436"/>
          <w:sz w:val="27"/>
          <w:szCs w:val="27"/>
          <w:lang w:eastAsia="ru-RU"/>
        </w:rPr>
        <w:t>. N 26)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I. Общие положения и область применения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условиям размещения дошкольных образовательных организаций,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оборудованию и содержанию территории,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помещениям, их оборудованию и содержанию,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естественному и искусственному освещению помещений,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отоплению и вентиляции,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водоснабжению и канализации,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организации питания,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приему детей в дошкольные образовательные организации,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организации режима дня,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организации физического воспитания,</w:t>
      </w:r>
    </w:p>
    <w:p w:rsidR="00167ABD" w:rsidRPr="00395E3E" w:rsidRDefault="00167ABD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личной гигиене персонала.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5" w:anchor="sub_10001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*(1)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6" w:anchor="sub_10002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*(2)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FF0000"/>
          <w:sz w:val="20"/>
          <w:szCs w:val="20"/>
          <w:lang w:eastAsia="ru-RU"/>
        </w:rPr>
        <w:t xml:space="preserve">Решением Верховного Суда РФ от 4 апреля </w:t>
      </w:r>
      <w:smartTag w:uri="urn:schemas-microsoft-com:office:smarttags" w:element="metricconverter">
        <w:smartTagPr>
          <w:attr w:name="ProductID" w:val="2014 г"/>
        </w:smartTagPr>
        <w:r w:rsidRPr="00395E3E">
          <w:rPr>
            <w:rFonts w:ascii="Arial" w:hAnsi="Arial" w:cs="Arial"/>
            <w:color w:val="FF0000"/>
            <w:sz w:val="20"/>
            <w:szCs w:val="20"/>
            <w:lang w:eastAsia="ru-RU"/>
          </w:rPr>
          <w:t>2014 г</w:t>
        </w:r>
      </w:smartTag>
      <w:r w:rsidRPr="00395E3E">
        <w:rPr>
          <w:rFonts w:ascii="Arial" w:hAnsi="Arial" w:cs="Arial"/>
          <w:color w:val="FF0000"/>
          <w:sz w:val="20"/>
          <w:szCs w:val="20"/>
          <w:lang w:eastAsia="ru-RU"/>
        </w:rPr>
        <w:t xml:space="preserve">. N АКПИ14-281 пункт 1.9 признан недействующим со дня вступления названного решения в законную силу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группе. Названное решение вступило в законную силу 9 мая </w:t>
      </w:r>
      <w:smartTag w:uri="urn:schemas-microsoft-com:office:smarttags" w:element="metricconverter">
        <w:smartTagPr>
          <w:attr w:name="ProductID" w:val="2014 г"/>
        </w:smartTagPr>
        <w:r w:rsidRPr="00395E3E">
          <w:rPr>
            <w:rFonts w:ascii="Arial" w:hAnsi="Arial" w:cs="Arial"/>
            <w:color w:val="FF0000"/>
            <w:sz w:val="20"/>
            <w:szCs w:val="20"/>
            <w:lang w:eastAsia="ru-RU"/>
          </w:rPr>
          <w:t>2014 г</w:t>
        </w:r>
      </w:smartTag>
      <w:r w:rsidRPr="00395E3E">
        <w:rPr>
          <w:rFonts w:ascii="Arial" w:hAnsi="Arial" w:cs="Arial"/>
          <w:color w:val="FF0000"/>
          <w:sz w:val="20"/>
          <w:szCs w:val="20"/>
          <w:lang w:eastAsia="ru-RU"/>
        </w:rPr>
        <w:t xml:space="preserve">. (Информация опубликована в "Российской газете" от 29 августа </w:t>
      </w:r>
      <w:smartTag w:uri="urn:schemas-microsoft-com:office:smarttags" w:element="metricconverter">
        <w:smartTagPr>
          <w:attr w:name="ProductID" w:val="2014 г"/>
        </w:smartTagPr>
        <w:r w:rsidRPr="00395E3E">
          <w:rPr>
            <w:rFonts w:ascii="Arial" w:hAnsi="Arial" w:cs="Arial"/>
            <w:color w:val="FF0000"/>
            <w:sz w:val="20"/>
            <w:szCs w:val="20"/>
            <w:lang w:eastAsia="ru-RU"/>
          </w:rPr>
          <w:t>2014 г</w:t>
        </w:r>
      </w:smartTag>
      <w:r w:rsidRPr="00395E3E">
        <w:rPr>
          <w:rFonts w:ascii="Arial" w:hAnsi="Arial" w:cs="Arial"/>
          <w:color w:val="FF0000"/>
          <w:sz w:val="20"/>
          <w:szCs w:val="20"/>
          <w:lang w:eastAsia="ru-RU"/>
        </w:rPr>
        <w:t>. N 196)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strike/>
          <w:color w:val="22292B"/>
          <w:sz w:val="20"/>
          <w:szCs w:val="20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тяжелыми нарушениями речи - 6 и 10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глухих детей - 6 детей для обеих возрастных групп;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слабослышащих детей - 6 и 8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слепых детей - 6 детей для обеих возрастных групп;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слабовидящих детей, для детей с амблиопией, косоглазием - 6 и 10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нарушениями опорно-двигательного аппарата - 6 и 8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задержкой психического развития - 6 и 10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умственной отсталостью легкой степени - 6 и 10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аутизмом только в возрасте старше 3 лет - 5 детей;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167ABD" w:rsidRPr="00395E3E" w:rsidRDefault="00167ABD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для детей с иными ограниченными возможностями здоровья - 10 и 15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Рекомендуемое количество детей в группах комбинированной направленности: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б) старше 3 лет:</w:t>
      </w:r>
    </w:p>
    <w:p w:rsidR="00167ABD" w:rsidRPr="00395E3E" w:rsidRDefault="00167ABD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67ABD" w:rsidRPr="00395E3E" w:rsidRDefault="00167ABD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67ABD" w:rsidRPr="00395E3E" w:rsidRDefault="00167ABD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не более 17 детей, в том числе не более 5 детей с задержкой психического развития.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3.17. На территории хозяйственной зоны возможно размещение овощехранилища.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Групповые ячейки для детей до 3-х лет располагаются на 1-м этаже.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7" w:anchor="sub_1101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Приложения N 1).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 </w:t>
      </w:r>
      <w:hyperlink r:id="rId8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требованиям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к персональным электронно-вычислительным машинам и организации работы.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9" w:anchor="sub_1101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таблице 1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Приложения N 1.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туалете предусматривается место для приготовления дезинфицирующих растворов.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Медицинский блок (медицинский кабинет) должен иметь отдельный вход из коридора.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10" w:anchor="sub_1102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таблицей 2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Приложения N 1.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Не допускается размещать групповые ячейки над помещениями пищеблока и постирочной.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Помещения для хранения пищевых продуктов должны быть не проницаемыми для грызунов.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4.34. Допускается установка посудомоечной машины в буфетных групповых ячейках.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167ABD" w:rsidRPr="00395E3E" w:rsidRDefault="00167ABD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167ABD" w:rsidRPr="00395E3E" w:rsidRDefault="00167ABD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групповая комната для проведения учебных занятий, игр и питания детей;</w:t>
      </w:r>
    </w:p>
    <w:p w:rsidR="00167ABD" w:rsidRPr="00395E3E" w:rsidRDefault="00167ABD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помещение или место для приготовления пищи, а также для мытья и хранения столовой посуды и приборов;</w:t>
      </w:r>
    </w:p>
    <w:p w:rsidR="00167ABD" w:rsidRPr="00395E3E" w:rsidRDefault="00167ABD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детская туалетная (с умывальной) для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6.2. Раздевальные оборудуются шкафами для верхней одежды детей и персонала.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Основные размеры столов и стульев для детей раннего возраста и дошкольного возраста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07"/>
        <w:gridCol w:w="1805"/>
        <w:gridCol w:w="2364"/>
        <w:gridCol w:w="1724"/>
      </w:tblGrid>
      <w:tr w:rsidR="00167ABD" w:rsidRPr="00F97BAF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Группа роста детей (мм)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Высота стола (мм)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Высота стула (мм)</w:t>
            </w:r>
          </w:p>
        </w:tc>
      </w:tr>
      <w:tr w:rsidR="00167ABD" w:rsidRPr="00F97BAF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</w:tr>
      <w:tr w:rsidR="00167ABD" w:rsidRPr="00F97BAF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220</w:t>
            </w:r>
          </w:p>
        </w:tc>
      </w:tr>
      <w:tr w:rsidR="00167ABD" w:rsidRPr="00F97BAF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 1000 - 1150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</w:tr>
      <w:tr w:rsidR="00167ABD" w:rsidRPr="00F97BAF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 1150 - 1300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300</w:t>
            </w:r>
          </w:p>
        </w:tc>
      </w:tr>
      <w:tr w:rsidR="00167ABD" w:rsidRPr="00F97BAF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</w:tr>
      <w:tr w:rsidR="00167ABD" w:rsidRPr="00F97BAF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380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6.11. Размещение аквариумов, животных, птиц в помещениях групповых не допускается.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6.18. Умывальники рекомендуется устанавливать:</w:t>
      </w:r>
    </w:p>
    <w:p w:rsidR="00167ABD" w:rsidRPr="00395E3E" w:rsidRDefault="00167ABD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на высоту от пола до борта прибора - 0,4 м для детей младшего дошкольного возраста;</w:t>
      </w:r>
    </w:p>
    <w:p w:rsidR="00167ABD" w:rsidRPr="00395E3E" w:rsidRDefault="00167ABD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на высоту от пола до борта - 0,5 м для детей среднего и старшего дошкольного возраста.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устанавливать шкафы для уборочного инвентаря вне туалетных комнат.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r:id="rId11" w:anchor="sub_12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N 2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7.9. Чистка оконных стекол и светильников проводится по мере их загрязнения.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VIII. Требования к отоплению и вентиляции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Ограждения из древесно-стружечных плит не используются.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8.5. Все помещения дошкольной организации должны ежедневно проветриваться.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помещениях спален сквозное проветривание проводится до дневного сна.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12" w:anchor="sub_13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N 3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IX. Требования к водоснабжению и канализации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9.3. Вода должна отвечать санитарно-эпидемиологическим требованиям к питьевой воде.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167ABD" w:rsidRPr="00395E3E" w:rsidRDefault="00167ABD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167ABD" w:rsidRPr="00395E3E" w:rsidRDefault="00167ABD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167ABD" w:rsidRPr="00395E3E" w:rsidRDefault="00167ABD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 </w:t>
      </w:r>
      <w:hyperlink r:id="rId13" w:anchor="sub_1104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Приложения N 1.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14" w:anchor="sub_1104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Приложения N 1.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871168">
        <w:rPr>
          <w:rFonts w:ascii="Arial" w:hAnsi="Arial" w:cs="Arial"/>
          <w:color w:val="22292B"/>
          <w:sz w:val="20"/>
          <w:szCs w:val="20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XII. Требования к организации физического воспитания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Длительность занятия с каждым ребенком составляет 6-10 минут.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64"/>
        <w:gridCol w:w="1766"/>
        <w:gridCol w:w="1748"/>
        <w:gridCol w:w="2096"/>
        <w:gridCol w:w="1726"/>
      </w:tblGrid>
      <w:tr w:rsidR="00167ABD" w:rsidRPr="00F97BAF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Возраст детей</w:t>
            </w:r>
          </w:p>
        </w:tc>
      </w:tr>
      <w:tr w:rsidR="00167ABD" w:rsidRPr="00F97BAF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от 1 г. до 1 г. 6 м.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от 1 г. 7 г. до 2 лет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от 2 лет 1 м. до 3 лет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старше 3 лет</w:t>
            </w:r>
          </w:p>
        </w:tc>
      </w:tr>
      <w:tr w:rsidR="00167ABD" w:rsidRPr="00F97BAF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Вся группа</w:t>
            </w:r>
          </w:p>
        </w:tc>
      </w:tr>
      <w:tr w:rsidR="00167ABD" w:rsidRPr="00F97BAF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Длительность занятия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67ABD" w:rsidRPr="00395E3E" w:rsidRDefault="00167ABD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 младшей группе - 15 мин.,</w:t>
      </w:r>
    </w:p>
    <w:p w:rsidR="00167ABD" w:rsidRPr="00395E3E" w:rsidRDefault="00167ABD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 средней группе - 20 мин.,</w:t>
      </w:r>
    </w:p>
    <w:p w:rsidR="00167ABD" w:rsidRPr="00395E3E" w:rsidRDefault="00167ABD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 старшей группе - 25 мин.,</w:t>
      </w:r>
    </w:p>
    <w:p w:rsidR="00167ABD" w:rsidRPr="00395E3E" w:rsidRDefault="00167ABD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 подготовительной группе - 30 мин.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167ABD" w:rsidRPr="00395E3E" w:rsidRDefault="00167ABD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167ABD" w:rsidRPr="00395E3E" w:rsidRDefault="00167ABD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 термокамере следует поддерживать температуру воздуха в пределах 60-70°С при относительной влажности 15-10%;</w:t>
      </w:r>
    </w:p>
    <w:p w:rsidR="00167ABD" w:rsidRPr="00395E3E" w:rsidRDefault="00167ABD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продолжительность первого посещения ребенком сауны не должна превышать 3 минут;</w:t>
      </w:r>
    </w:p>
    <w:p w:rsidR="00167ABD" w:rsidRPr="00395E3E" w:rsidRDefault="00167ABD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 </w:t>
      </w:r>
      <w:hyperlink r:id="rId15" w:anchor="sub_14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Приложением N 4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. Все технологическое и холодильное оборудование должно быть исправно.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167ABD" w:rsidRPr="00395E3E" w:rsidRDefault="00167ABD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167ABD" w:rsidRPr="00395E3E" w:rsidRDefault="00167ABD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167ABD" w:rsidRPr="00395E3E" w:rsidRDefault="00167ABD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167ABD" w:rsidRPr="00395E3E" w:rsidRDefault="00167ABD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167ABD" w:rsidRPr="00395E3E" w:rsidRDefault="00167ABD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167ABD" w:rsidRPr="00395E3E" w:rsidRDefault="00167ABD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167ABD" w:rsidRPr="00395E3E" w:rsidRDefault="00167ABD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Продукция поступает в таре производителя (поставщика).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16" w:anchor="sub_15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N 5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17" w:anchor="sub_16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6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Крупные сыры хранятся на стеллажах, мелкие сыры - на полках в потребительской таре.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Сметана, творог хранятся в таре с крышкой.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Не допускается оставлять ложки, лопатки в таре со сметаной, творогом.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°С, но не более одного часа.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18" w:anchor="sub_17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7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Яйцо варят после закипания воды 10 мин.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 При обработке овощей должны быть соблюдены следующие требования: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Не допускается предварительное замачивание овощей.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14.16.5. Варка овощей накануне дня приготовления блюд не допускается.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Не заправленные салаты допускается хранить не более 2 часов при температуре плюс °С. Салаты заправляют непосредственно перед раздачей.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Хранение заправленных салатов может осуществляться не более 30 минут при температуре  С.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19" w:anchor="sub_1802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таблица 2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Приложения N 8), который хранится один год.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20" w:anchor="sub_1801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Приложения N 8).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167ABD" w:rsidRPr="00395E3E" w:rsidRDefault="00167ABD" w:rsidP="00395E3E">
      <w:pPr>
        <w:numPr>
          <w:ilvl w:val="0"/>
          <w:numId w:val="10"/>
        </w:numPr>
        <w:shd w:val="clear" w:color="auto" w:fill="FFFFFF"/>
        <w:spacing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использование пищевых продуктов, указанных в </w:t>
      </w:r>
      <w:hyperlink r:id="rId21" w:anchor="sub_19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Приложении N 9</w:t>
        </w:r>
      </w:hyperlink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;</w:t>
      </w:r>
    </w:p>
    <w:p w:rsidR="00167ABD" w:rsidRPr="00395E3E" w:rsidRDefault="00167ABD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167ABD" w:rsidRPr="00395E3E" w:rsidRDefault="00167ABD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Нормы физиологических потребностей в энергии и пищевых веществах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9"/>
        <w:gridCol w:w="1254"/>
        <w:gridCol w:w="1176"/>
        <w:gridCol w:w="1176"/>
        <w:gridCol w:w="1180"/>
        <w:gridCol w:w="1193"/>
        <w:gridCol w:w="1272"/>
      </w:tblGrid>
      <w:tr w:rsidR="00167ABD" w:rsidRPr="00F97BAF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1-2 г.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2-3г.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</w:tr>
      <w:tr w:rsidR="00167ABD" w:rsidRPr="00F97BAF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Энергия (ккал)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2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3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110</w:t>
            </w:r>
            <w:hyperlink r:id="rId24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1800</w:t>
            </w:r>
          </w:p>
        </w:tc>
      </w:tr>
      <w:tr w:rsidR="00167ABD" w:rsidRPr="00F97BAF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54</w:t>
            </w:r>
          </w:p>
        </w:tc>
      </w:tr>
      <w:tr w:rsidR="00167ABD" w:rsidRPr="00F97BAF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hyperlink r:id="rId25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в.т.ч. животный (%)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167ABD" w:rsidRPr="00F97BAF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hyperlink r:id="rId26" w:anchor="sub_15222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г/кг массы тела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167ABD" w:rsidRPr="00F97BAF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6,5</w:t>
            </w:r>
            <w:hyperlink r:id="rId27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  <w:hyperlink r:id="rId28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5,5</w:t>
            </w:r>
            <w:hyperlink r:id="rId29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167ABD" w:rsidRPr="00F97BAF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0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1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2" w:anchor="sub_151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261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Примечание: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Перетаривание готовой кулинарной продукции и блюд не допускается.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33" w:anchor="sub_1001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10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34" w:anchor="sub_10011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N 11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Рекомендуемое распределение калорийности между приемами пищи в %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92"/>
        <w:gridCol w:w="3038"/>
        <w:gridCol w:w="3270"/>
      </w:tblGrid>
      <w:tr w:rsidR="00167ABD" w:rsidRPr="00F97BAF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12 час.</w:t>
            </w:r>
          </w:p>
        </w:tc>
      </w:tr>
      <w:tr w:rsidR="00167ABD" w:rsidRPr="00F97BAF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 (20-25%)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Ужин (20-25 %)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 ужин - (до 5 %) -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 (30-35 %)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Полдник (10-15%) */ или уплотненный полдник (30-35%)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Ужин (20-25 %)*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15.5. Примерное меню должно содержать информацию в соответствии с </w:t>
      </w:r>
      <w:hyperlink r:id="rId35" w:anchor="sub_10012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Приложением N 12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36" w:anchor="sub_1700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Приложению N 7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Фактический рацион питания должен соответствовать утвержденному примерному меню.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Суммарные объемы блюд по приемам пищи должны соответствовать </w:t>
      </w:r>
      <w:hyperlink r:id="rId37" w:anchor="sub_10013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Приложению N 13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38" w:anchor="sub_10014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N 14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Режим питания детей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1"/>
        <w:gridCol w:w="2187"/>
        <w:gridCol w:w="2070"/>
        <w:gridCol w:w="2252"/>
      </w:tblGrid>
      <w:tr w:rsidR="00167ABD" w:rsidRPr="00F97BAF" w:rsidTr="00395E3E">
        <w:tc>
          <w:tcPr>
            <w:tcW w:w="30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8-10 часов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11-12 часов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24 часа</w:t>
            </w:r>
          </w:p>
        </w:tc>
      </w:tr>
      <w:tr w:rsidR="00167ABD" w:rsidRPr="00F97BAF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</w:tr>
      <w:tr w:rsidR="00167ABD" w:rsidRPr="00F97BAF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10.30-11.00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167ABD" w:rsidRPr="00F97BAF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</w:tr>
      <w:tr w:rsidR="00167ABD" w:rsidRPr="00F97BAF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  <w:hyperlink r:id="rId39" w:anchor="sub_15333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</w:tr>
      <w:tr w:rsidR="00167ABD" w:rsidRPr="00F97BAF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167ABD" w:rsidRPr="00F97BAF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 ужин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______________________________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40" w:anchor="sub_10015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N 15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Термосы подлежат обработке в соответствии с инструкциями по применению.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Игрушки моют в специально выделенных, промаркированных емкостях.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Очистка шахт вытяжной вентиляции проводится по мере загрязнения.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работу по организации профилактических осмотров воспитанников и проведение профилактических прививок;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распределение детей на медицинские группы для занятий физическим воспитанием;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организацию и контроль за проведением профилактических и санитарно-противоэпидемических мероприятий,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контроль за пищеблоком и питанием детей;</w:t>
      </w:r>
    </w:p>
    <w:p w:rsidR="00167ABD" w:rsidRPr="00395E3E" w:rsidRDefault="00167ABD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ведение медицинской документации.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167ABD" w:rsidRPr="00395E3E" w:rsidRDefault="00167ABD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167ABD" w:rsidRPr="00395E3E" w:rsidRDefault="00167ABD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167ABD" w:rsidRPr="00395E3E" w:rsidRDefault="00167ABD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167ABD" w:rsidRPr="00395E3E" w:rsidRDefault="00167ABD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167ABD" w:rsidRPr="00395E3E" w:rsidRDefault="00167ABD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hyperlink r:id="rId41" w:anchor="sub_10003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*(3)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hyperlink r:id="rId42" w:anchor="sub_10004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*(4)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 </w:t>
      </w:r>
      <w:hyperlink r:id="rId43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национальным календарем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профилактических прививок.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44" w:anchor="sub_10016" w:history="1">
        <w:r w:rsidRPr="00395E3E">
          <w:rPr>
            <w:rFonts w:ascii="Arial" w:hAnsi="Arial" w:cs="Arial"/>
            <w:color w:val="474747"/>
            <w:sz w:val="20"/>
            <w:szCs w:val="20"/>
            <w:u w:val="single"/>
            <w:lang w:eastAsia="ru-RU"/>
          </w:rPr>
          <w:t>Приложение N 16</w:t>
        </w:r>
      </w:hyperlink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4"/>
          <w:szCs w:val="24"/>
          <w:lang w:eastAsia="ru-RU"/>
        </w:rPr>
        <w:t>XX. Требования к соблюдению санитарных правил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выполнение требований санитарных правил всеми работниками учреждения;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необходимые условия для соблюдения санитарных правил;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наличие личных медицинских книжек на каждого работника;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организацию мероприятий по дезинфекции, дезинсекции и дератизации;</w:t>
      </w:r>
    </w:p>
    <w:p w:rsidR="00167ABD" w:rsidRPr="00395E3E" w:rsidRDefault="00167ABD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исправную работу технологического, холодильного и другого оборудования учреждения.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______________________________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0" w:name="sub_10001"/>
      <w:bookmarkEnd w:id="0"/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*(1) Рекомендации - добровольного исполнения, не носят обязательный характер.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" w:name="sub_10002"/>
      <w:bookmarkEnd w:id="1"/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*(2) Постановление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2" w:name="sub_10003"/>
      <w:bookmarkEnd w:id="2"/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*(3) Приказ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3" w:name="sub_10004"/>
      <w:bookmarkEnd w:id="3"/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*(4) Приказ Минздравсоцразвития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 01/8577-ДК).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Приложение N 1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4" w:name="sub_1101"/>
      <w:bookmarkEnd w:id="4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Рекомендуемые площади помещений групповой ячейки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6"/>
        <w:gridCol w:w="7134"/>
      </w:tblGrid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Вид помещений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Площадные показатели (не менее)</w:t>
            </w:r>
          </w:p>
        </w:tc>
      </w:tr>
      <w:tr w:rsidR="00167ABD" w:rsidRPr="00F97BAF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Групповые ячейки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 кв. м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167ABD" w:rsidRPr="00F97BAF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Медицинский блок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медицинский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не менее 12 кв. м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не менее 8 кв. м 8</w:t>
            </w:r>
          </w:p>
        </w:tc>
      </w:tr>
      <w:tr w:rsidR="00167ABD" w:rsidRPr="00F97BAF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туалет с местом для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приготовления дезинфицирующих</w:t>
            </w:r>
          </w:p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растворов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не менее 6 кв. м 8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5" w:name="sub_1102"/>
      <w:bookmarkEnd w:id="5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служебно-бытовых помещений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49"/>
        <w:gridCol w:w="1679"/>
        <w:gridCol w:w="1690"/>
        <w:gridCol w:w="1690"/>
        <w:gridCol w:w="1692"/>
      </w:tblGrid>
      <w:tr w:rsidR="00167ABD" w:rsidRPr="00F97BAF" w:rsidTr="00395E3E">
        <w:tc>
          <w:tcPr>
            <w:tcW w:w="28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44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Столовая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167ABD" w:rsidRPr="00F97BAF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Туалеты для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6" w:name="sub_1103"/>
      <w:bookmarkEnd w:id="6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постирочной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4"/>
        <w:gridCol w:w="1779"/>
        <w:gridCol w:w="1749"/>
        <w:gridCol w:w="1656"/>
        <w:gridCol w:w="1872"/>
      </w:tblGrid>
      <w:tr w:rsidR="00167ABD" w:rsidRPr="00F97BAF" w:rsidTr="00395E3E">
        <w:tc>
          <w:tcPr>
            <w:tcW w:w="24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75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167ABD" w:rsidRPr="00F97BAF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</w:tr>
      <w:tr w:rsidR="00167ABD" w:rsidRPr="00F97BAF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167ABD" w:rsidRPr="00F97BAF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7" w:name="sub_1104"/>
      <w:bookmarkEnd w:id="7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61"/>
        <w:gridCol w:w="1264"/>
        <w:gridCol w:w="1841"/>
        <w:gridCol w:w="1583"/>
        <w:gridCol w:w="116"/>
        <w:gridCol w:w="1435"/>
      </w:tblGrid>
      <w:tr w:rsidR="00167ABD" w:rsidRPr="00F97BAF" w:rsidTr="00395E3E">
        <w:tc>
          <w:tcPr>
            <w:tcW w:w="37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Нарушения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34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интеллекта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косоглазие и амблиопия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Плеопто-ортоптическая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167ABD" w:rsidRPr="00F97BAF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Логопедическая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167ABD" w:rsidRPr="00F97BAF" w:rsidTr="00395E3E">
        <w:tc>
          <w:tcPr>
            <w:tcW w:w="3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8" w:name="sub_1105"/>
      <w:bookmarkEnd w:id="8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59"/>
        <w:gridCol w:w="2277"/>
        <w:gridCol w:w="2264"/>
      </w:tblGrid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Групповые ячейки детей до 3-х лет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Групповые ячейки детей от 3-х до 7-ми лет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Игральная (столовая)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Туалетная (горшечная)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Комната логопеда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</w:tr>
      <w:tr w:rsidR="00167ABD" w:rsidRPr="00F97BAF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Веранда неотапливаемая (для 50% детей)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9" w:name="sub_1200"/>
      <w:bookmarkEnd w:id="9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2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0"/>
        <w:gridCol w:w="2811"/>
        <w:gridCol w:w="3609"/>
      </w:tblGrid>
      <w:tr w:rsidR="00167ABD" w:rsidRPr="00F97BAF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Размещение светильников</w:t>
            </w:r>
          </w:p>
        </w:tc>
      </w:tr>
      <w:tr w:rsidR="00167ABD" w:rsidRPr="00F97BAF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Групповые (игровые), раздевальные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Вдоль светонесущей стены</w:t>
            </w:r>
          </w:p>
        </w:tc>
      </w:tr>
      <w:tr w:rsidR="00167ABD" w:rsidRPr="00F97BAF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Спальные помещения, веранды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Общее равномерное + дежурное (ночное)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Вдоль преимущественного размещения оборудования</w:t>
            </w:r>
          </w:p>
        </w:tc>
      </w:tr>
      <w:tr w:rsidR="00167ABD" w:rsidRPr="00F97BAF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Любое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0" w:name="sub_1300"/>
      <w:bookmarkEnd w:id="10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3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79"/>
        <w:gridCol w:w="1140"/>
        <w:gridCol w:w="1131"/>
        <w:gridCol w:w="1185"/>
        <w:gridCol w:w="1024"/>
        <w:gridCol w:w="1225"/>
        <w:gridCol w:w="116"/>
      </w:tblGrid>
      <w:tr w:rsidR="00167ABD" w:rsidRPr="00F97BAF" w:rsidTr="00395E3E">
        <w:tc>
          <w:tcPr>
            <w:tcW w:w="40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27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t (С) - не ниже</w:t>
            </w:r>
          </w:p>
        </w:tc>
        <w:tc>
          <w:tcPr>
            <w:tcW w:w="489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Кратность обмена воздуха в 1 час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 I А, Б, Г климатических районах</w:t>
            </w:r>
          </w:p>
        </w:tc>
        <w:tc>
          <w:tcPr>
            <w:tcW w:w="24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 других климатических районах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Спальни всех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Туалетные ясельных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Туалетные дошкольных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Помещения медицинского назначения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Залы для муз. и гимнастических занятий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Прогулочные веранды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 расчету, но не менее 20  на 1 ребенка</w:t>
            </w: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Зал с ванной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Раздевалка с душевой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Отапливаемые переходы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167ABD" w:rsidRPr="00F97BAF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1" w:name="sub_1400"/>
      <w:bookmarkEnd w:id="11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4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Рекомендуемый перечень оборудования пищеблоков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5"/>
        <w:gridCol w:w="6335"/>
      </w:tblGrid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Склады (кладовые)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Моечная кухонной посуды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167ABD" w:rsidRPr="00F97BAF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Моечная тары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Моечная ванна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2" w:name="sub_1500"/>
      <w:bookmarkEnd w:id="12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5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br/>
        <w:t>бракеража скоропортящихся пищевых продуктов, поступающих на пищеблок (образец)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06"/>
        <w:gridCol w:w="1032"/>
        <w:gridCol w:w="1407"/>
        <w:gridCol w:w="957"/>
        <w:gridCol w:w="1155"/>
        <w:gridCol w:w="1407"/>
        <w:gridCol w:w="1067"/>
        <w:gridCol w:w="969"/>
      </w:tblGrid>
      <w:tr w:rsidR="00167ABD" w:rsidRPr="00F97BAF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Номер товарно-транспортной накладной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Примечание </w:t>
            </w:r>
            <w:hyperlink r:id="rId45" w:anchor="sub_150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167ABD" w:rsidRPr="00F97BAF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  <w:hyperlink r:id="rId46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#</w:t>
              </w:r>
            </w:hyperlink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Примечание: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 Указываются факты списания, возврата продуктов и др.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3" w:name="sub_1600"/>
      <w:bookmarkEnd w:id="13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6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br/>
        <w:t>учета температурного режима в холодильном оборудовании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8"/>
        <w:gridCol w:w="3064"/>
        <w:gridCol w:w="1152"/>
        <w:gridCol w:w="1019"/>
        <w:gridCol w:w="872"/>
        <w:gridCol w:w="885"/>
        <w:gridCol w:w="885"/>
        <w:gridCol w:w="925"/>
      </w:tblGrid>
      <w:tr w:rsidR="00167ABD" w:rsidRPr="00F97BAF" w:rsidTr="00395E3E">
        <w:tc>
          <w:tcPr>
            <w:tcW w:w="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31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Месяц/дни: (t в о С)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67ABD" w:rsidRPr="00F97BAF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4" w:name="sub_1700"/>
      <w:bookmarkEnd w:id="14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7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Технологическая карта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(образец)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Технологическая карта N_______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Наименование изделия: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Номер рецептуры: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Наименование сборника рецептур: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95"/>
        <w:gridCol w:w="2814"/>
        <w:gridCol w:w="2591"/>
      </w:tblGrid>
      <w:tr w:rsidR="00167ABD" w:rsidRPr="00F97BAF" w:rsidTr="00395E3E">
        <w:tc>
          <w:tcPr>
            <w:tcW w:w="43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1 порция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Нетто, г</w:t>
            </w:r>
          </w:p>
        </w:tc>
      </w:tr>
      <w:tr w:rsidR="00167ABD" w:rsidRPr="00F97BAF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Химический состав данного блюда: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96"/>
        <w:gridCol w:w="2038"/>
        <w:gridCol w:w="1754"/>
        <w:gridCol w:w="2055"/>
        <w:gridCol w:w="2157"/>
      </w:tblGrid>
      <w:tr w:rsidR="00167ABD" w:rsidRPr="00F97BAF" w:rsidTr="00395E3E">
        <w:tc>
          <w:tcPr>
            <w:tcW w:w="78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23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Витамин С, мг</w:t>
            </w:r>
          </w:p>
        </w:tc>
      </w:tr>
      <w:tr w:rsidR="00167ABD" w:rsidRPr="00F97BAF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67ABD" w:rsidRPr="00F97BAF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Технология приготовления:___________________________________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8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5" w:name="sub_1801"/>
      <w:bookmarkEnd w:id="15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1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Журнал бракеража готовой кулинарной продукции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(образец)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03"/>
        <w:gridCol w:w="1053"/>
        <w:gridCol w:w="1434"/>
        <w:gridCol w:w="1835"/>
        <w:gridCol w:w="1212"/>
        <w:gridCol w:w="1273"/>
        <w:gridCol w:w="1290"/>
      </w:tblGrid>
      <w:tr w:rsidR="00167ABD" w:rsidRPr="00F97BAF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Разрешение к</w:t>
            </w:r>
          </w:p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реализации</w:t>
            </w:r>
          </w:p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люда,</w:t>
            </w:r>
          </w:p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кулинарного изделия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Подписи членов бракеражной комиссии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Примечание</w:t>
            </w:r>
            <w:hyperlink r:id="rId47" w:anchor="sub_18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167ABD" w:rsidRPr="00F97BAF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Примечание: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 Указываются факты запрещения к реализации готовой продукции.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6" w:name="sub_1802"/>
      <w:bookmarkEnd w:id="16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Таблица 2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Журнал проведения витаминизации третьих и сладких блюд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(образец)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3"/>
        <w:gridCol w:w="1367"/>
        <w:gridCol w:w="1367"/>
        <w:gridCol w:w="1149"/>
        <w:gridCol w:w="1177"/>
        <w:gridCol w:w="1990"/>
        <w:gridCol w:w="711"/>
        <w:gridCol w:w="1156"/>
      </w:tblGrid>
      <w:tr w:rsidR="00167ABD" w:rsidRPr="00F97BAF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Количество питающихся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7ABD" w:rsidRPr="00F97BAF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7" w:name="sub_1900"/>
      <w:bookmarkEnd w:id="17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9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Пищевые продукты, которые не допускается использовать в питании детей: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мясо диких животных;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коллагенсодержащее сырье из мяса птицы;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мясо третьей и четвертой категории;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мясо с массовой долей костей, жировой и соединительной ткани свыше 20%;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субпродукты, кроме печени, языка, сердца;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кровяные и ливерные колбасы;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непотрошеная птица;</w:t>
      </w:r>
    </w:p>
    <w:p w:rsidR="00167ABD" w:rsidRPr="00395E3E" w:rsidRDefault="00167ABD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мясо водоплавающих птиц.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Блюда, изготовленные из мяса, птицы, рыбы:</w:t>
      </w:r>
    </w:p>
    <w:p w:rsidR="00167ABD" w:rsidRPr="00395E3E" w:rsidRDefault="00167ABD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зельцы, изделия из мясной обрези, диафрагмы; рулеты из мякоти голов;</w:t>
      </w:r>
    </w:p>
    <w:p w:rsidR="00167ABD" w:rsidRPr="00395E3E" w:rsidRDefault="00167ABD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блюда, не прошедшие тепловую обработку, кроме соленой рыбы (сельдь, семга, форель).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Консервы:</w:t>
      </w:r>
    </w:p>
    <w:p w:rsidR="00167ABD" w:rsidRPr="00395E3E" w:rsidRDefault="00167ABD" w:rsidP="00395E3E">
      <w:pPr>
        <w:numPr>
          <w:ilvl w:val="0"/>
          <w:numId w:val="16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консервы с нарушением герметичности банок, бомбажные, "хлопуши", банки с ржавчиной, деформированные, без этикеток.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Пищевые жиры:</w:t>
      </w:r>
    </w:p>
    <w:p w:rsidR="00167ABD" w:rsidRPr="00395E3E" w:rsidRDefault="00167ABD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67ABD" w:rsidRPr="00395E3E" w:rsidRDefault="00167ABD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сливочное масло жирностью ниже 72%;</w:t>
      </w:r>
    </w:p>
    <w:p w:rsidR="00167ABD" w:rsidRPr="00395E3E" w:rsidRDefault="00167ABD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жареные в жире (во фритюре) пищевые продукты и кулинарные изделия, чипсы.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167ABD" w:rsidRPr="00395E3E" w:rsidRDefault="00167ABD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167ABD" w:rsidRPr="00395E3E" w:rsidRDefault="00167ABD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молоко, не прошедшее пастеризацию;</w:t>
      </w:r>
    </w:p>
    <w:p w:rsidR="00167ABD" w:rsidRPr="00395E3E" w:rsidRDefault="00167ABD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молочные продукты, творожные сырки с использованием растительных жиров;</w:t>
      </w:r>
    </w:p>
    <w:p w:rsidR="00167ABD" w:rsidRPr="00395E3E" w:rsidRDefault="00167ABD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мороженое;</w:t>
      </w:r>
    </w:p>
    <w:p w:rsidR="00167ABD" w:rsidRPr="00395E3E" w:rsidRDefault="00167ABD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творог из непастеризованного молока;</w:t>
      </w:r>
    </w:p>
    <w:p w:rsidR="00167ABD" w:rsidRPr="00395E3E" w:rsidRDefault="00167ABD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фляжная сметана без термической обработки;</w:t>
      </w:r>
    </w:p>
    <w:p w:rsidR="00167ABD" w:rsidRPr="00395E3E" w:rsidRDefault="00167ABD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простокваша "самоквас";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Яйца:</w:t>
      </w:r>
    </w:p>
    <w:p w:rsidR="00167ABD" w:rsidRPr="00395E3E" w:rsidRDefault="00167ABD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яйца водоплавающих птиц;</w:t>
      </w:r>
    </w:p>
    <w:p w:rsidR="00167ABD" w:rsidRPr="00395E3E" w:rsidRDefault="00167ABD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яйца с загрязненной скорлупой, с насечкой, "тек", "бой";</w:t>
      </w:r>
    </w:p>
    <w:p w:rsidR="00167ABD" w:rsidRPr="00395E3E" w:rsidRDefault="00167ABD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яйца из хозяйств, неблагополучных по сальмонеллезам;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167ABD" w:rsidRPr="00395E3E" w:rsidRDefault="00167ABD" w:rsidP="00395E3E">
      <w:pPr>
        <w:numPr>
          <w:ilvl w:val="0"/>
          <w:numId w:val="20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кремовые кондитерские изделия (пирожные и торты) и кремы.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Прочие продукты и блюда: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первые и вторые блюда на основе сухих пищевых концентратов быстрого приготовления;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грибы и кулинарные изделия, из них приготовленные;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квас, газированные напитки;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кофе натуральный;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ядра абрикосовой косточки, арахиса;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карамель, в том числе леденцовая;</w:t>
      </w:r>
    </w:p>
    <w:p w:rsidR="00167ABD" w:rsidRPr="00395E3E" w:rsidRDefault="00167ABD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8" w:name="sub_10010"/>
      <w:bookmarkEnd w:id="18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10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76"/>
        <w:gridCol w:w="1316"/>
        <w:gridCol w:w="1305"/>
        <w:gridCol w:w="116"/>
        <w:gridCol w:w="1139"/>
        <w:gridCol w:w="116"/>
        <w:gridCol w:w="1184"/>
        <w:gridCol w:w="116"/>
        <w:gridCol w:w="116"/>
        <w:gridCol w:w="116"/>
      </w:tblGrid>
      <w:tr w:rsidR="00167ABD" w:rsidRPr="00F97BAF" w:rsidTr="00395E3E">
        <w:tc>
          <w:tcPr>
            <w:tcW w:w="44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5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 г, мл, брутто</w:t>
            </w:r>
          </w:p>
        </w:tc>
        <w:tc>
          <w:tcPr>
            <w:tcW w:w="28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 г, мл, нетто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Молоко и кисломолочные продукты с м.д.ж. не ниже 2,5%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Творог, творожные изделия с м.д.ж. не менее 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Сметана с м.д.ж. не более 15%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Мясо (бескостное/ на кости)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60,5/75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 29.02 по 01.09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коровье сладкосливочное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Чай, включая фиточай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Хим состав (без учета т/о)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Жир,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Примечание: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1 - при составлении меню допустимы отклонения от рекомендуемых норм питания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%;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4 - % отхода учитывать только при использовании творога для приготовления блюд;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8 - допустимы отклонения от химического состава рекомендуемых наборов продуктов %;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19" w:name="sub_10011"/>
      <w:bookmarkEnd w:id="19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11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167ABD" w:rsidRPr="00395E3E" w:rsidRDefault="00167ABD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говядина I категории,</w:t>
      </w:r>
    </w:p>
    <w:p w:rsidR="00167ABD" w:rsidRPr="00395E3E" w:rsidRDefault="00167ABD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телятина,</w:t>
      </w:r>
    </w:p>
    <w:p w:rsidR="00167ABD" w:rsidRPr="00395E3E" w:rsidRDefault="00167ABD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нежирные сорта свинины и баранины;</w:t>
      </w:r>
    </w:p>
    <w:p w:rsidR="00167ABD" w:rsidRPr="00395E3E" w:rsidRDefault="00167ABD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мясо птицы охлажденное (курица, индейка),</w:t>
      </w:r>
    </w:p>
    <w:p w:rsidR="00167ABD" w:rsidRPr="00395E3E" w:rsidRDefault="00167ABD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мясо кролика,</w:t>
      </w:r>
    </w:p>
    <w:p w:rsidR="00167ABD" w:rsidRPr="00395E3E" w:rsidRDefault="00167ABD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167ABD" w:rsidRPr="00395E3E" w:rsidRDefault="00167ABD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субпродукты говяжьи (печень, язык).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Рыба и рыбопродукты - треска, горбуша, лосось, хек, минтай, ледяная рыба,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судак, сельдь (соленая), морепродукты.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Яйца куриные - в виде омлетов или в вареном виде.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молоко (2,5%, 3,2% жирности), пастеризованное, стерилизованное;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сгущенное молоко (цельное и с сахаром), сгущенно-вареное молоко;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сметана (10%, 15% жирности) - после термической обработки;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кисломолочные продукты промышленного выпуска; ряженка, варенец, бифидок, кефир, йогурты, простокваша;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сливки (10%) жирности);</w:t>
      </w:r>
    </w:p>
    <w:p w:rsidR="00167ABD" w:rsidRPr="00395E3E" w:rsidRDefault="00167ABD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мороженое (молочное, сливочное)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Пищевые жиры:</w:t>
      </w:r>
    </w:p>
    <w:p w:rsidR="00167ABD" w:rsidRPr="00395E3E" w:rsidRDefault="00167ABD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сливочное масло (72,5%, 82,5% жирности);</w:t>
      </w:r>
    </w:p>
    <w:p w:rsidR="00167ABD" w:rsidRPr="00395E3E" w:rsidRDefault="00167ABD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167ABD" w:rsidRPr="00395E3E" w:rsidRDefault="00167ABD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- маргарин ограниченно для выпечки.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167ABD" w:rsidRPr="00395E3E" w:rsidRDefault="00167ABD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зефир, пастила, мармелад;</w:t>
      </w:r>
    </w:p>
    <w:p w:rsidR="00167ABD" w:rsidRPr="00395E3E" w:rsidRDefault="00167ABD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шоколад и шоколадные конфеты - не чаще одного раза в неделю;</w:t>
      </w:r>
    </w:p>
    <w:p w:rsidR="00167ABD" w:rsidRPr="00395E3E" w:rsidRDefault="00167ABD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167ABD" w:rsidRPr="00395E3E" w:rsidRDefault="00167ABD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пирожные, торты (песочные и бисквитные, без крема);</w:t>
      </w:r>
    </w:p>
    <w:p w:rsidR="00167ABD" w:rsidRPr="00395E3E" w:rsidRDefault="00167ABD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джемы, варенье, повидло, мед - промышленного выпуска.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Овощи:</w:t>
      </w:r>
    </w:p>
    <w:p w:rsidR="00167ABD" w:rsidRPr="00395E3E" w:rsidRDefault="00167ABD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167ABD" w:rsidRPr="00395E3E" w:rsidRDefault="00167ABD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Фрукты:</w:t>
      </w:r>
    </w:p>
    <w:p w:rsidR="00167ABD" w:rsidRPr="00395E3E" w:rsidRDefault="00167ABD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яблоки, груши, бананы, слива, персики, абрикосы, ягоды (за исключением клубники, в том числе быстрозамороженные);</w:t>
      </w:r>
    </w:p>
    <w:p w:rsidR="00167ABD" w:rsidRPr="00395E3E" w:rsidRDefault="00167ABD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цитрусовые (апельсины, мандарины, лимоны) - с учетом индивидуальной переносимости;</w:t>
      </w:r>
    </w:p>
    <w:p w:rsidR="00167ABD" w:rsidRPr="00395E3E" w:rsidRDefault="00167ABD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167ABD" w:rsidRPr="00395E3E" w:rsidRDefault="00167ABD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сухофрукты.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Бобовые: горох, фасоль, соя, чечевица.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Орехи: миндаль, фундук, ядро грецкого ореха.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Соки и напитки:</w:t>
      </w:r>
    </w:p>
    <w:p w:rsidR="00167ABD" w:rsidRPr="00395E3E" w:rsidRDefault="00167ABD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167ABD" w:rsidRPr="00395E3E" w:rsidRDefault="00167ABD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напитки промышленного выпуска на основе натуральных фруктов;</w:t>
      </w:r>
    </w:p>
    <w:p w:rsidR="00167ABD" w:rsidRPr="00395E3E" w:rsidRDefault="00167ABD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167ABD" w:rsidRPr="00395E3E" w:rsidRDefault="00167ABD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кофе (суррогатный), какао, чай.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Консервы: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говядина тушеная (в виде исключения при отсутствии мяса) для приготовления первых блюд)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лосось, сайра (для приготовления супов);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компоты, фрукты дольками;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баклажанная и кабачковая икра для детского питания;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зеленый горошек;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кукуруза сахарная;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фасоль стручковая консервированная;</w:t>
      </w:r>
    </w:p>
    <w:p w:rsidR="00167ABD" w:rsidRPr="00395E3E" w:rsidRDefault="00167ABD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hAnsi="Arial" w:cs="Arial"/>
          <w:color w:val="465559"/>
          <w:sz w:val="20"/>
          <w:szCs w:val="20"/>
          <w:lang w:eastAsia="ru-RU"/>
        </w:rPr>
        <w:t>томаты и огурцы соленые.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jc w:val="both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Соль поваренная йодированная - в эндемичных по содержанию йода районах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20" w:name="sub_10012"/>
      <w:bookmarkEnd w:id="20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12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Примерное меню (образец)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10"/>
        <w:gridCol w:w="1449"/>
        <w:gridCol w:w="875"/>
        <w:gridCol w:w="644"/>
        <w:gridCol w:w="619"/>
        <w:gridCol w:w="578"/>
        <w:gridCol w:w="1547"/>
        <w:gridCol w:w="1072"/>
        <w:gridCol w:w="1106"/>
      </w:tblGrid>
      <w:tr w:rsidR="00167ABD" w:rsidRPr="00F97BAF" w:rsidTr="00395E3E">
        <w:tc>
          <w:tcPr>
            <w:tcW w:w="169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114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Наименование</w:t>
            </w:r>
          </w:p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1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259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Пищевые вещества(г)</w:t>
            </w:r>
          </w:p>
        </w:tc>
        <w:tc>
          <w:tcPr>
            <w:tcW w:w="12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11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N рецептуры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Итого за первый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.... и т.д. по дням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Итого за весь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21" w:name="sub_10013"/>
      <w:bookmarkEnd w:id="21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13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Суммарные объемы блюд по приемам пищи (в граммах)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74"/>
        <w:gridCol w:w="1789"/>
        <w:gridCol w:w="1758"/>
        <w:gridCol w:w="1810"/>
        <w:gridCol w:w="1769"/>
      </w:tblGrid>
      <w:tr w:rsidR="00167ABD" w:rsidRPr="00F97BAF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167ABD" w:rsidRPr="00F97BAF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400-500</w:t>
            </w:r>
          </w:p>
        </w:tc>
      </w:tr>
      <w:tr w:rsidR="00167ABD" w:rsidRPr="00F97BAF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450-600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22" w:name="sub_10014"/>
      <w:bookmarkEnd w:id="22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14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Таблица замены продуктов по белкам и углеводам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86"/>
        <w:gridCol w:w="1417"/>
        <w:gridCol w:w="1358"/>
        <w:gridCol w:w="1266"/>
        <w:gridCol w:w="1292"/>
        <w:gridCol w:w="1481"/>
      </w:tblGrid>
      <w:tr w:rsidR="00167ABD" w:rsidRPr="00F97BAF" w:rsidTr="00395E3E">
        <w:tc>
          <w:tcPr>
            <w:tcW w:w="286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432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Курага (без косточек)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+ 6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+ 4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- 9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+ 13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-11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- 6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- 8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- 20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- 13 г</w:t>
            </w: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творога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- 3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+ 9 г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Масло - 5 г</w:t>
            </w:r>
          </w:p>
        </w:tc>
      </w:tr>
      <w:tr w:rsidR="00167ABD" w:rsidRPr="00F97BAF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23" w:name="sub_10015"/>
      <w:bookmarkEnd w:id="23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15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Схема</w:t>
      </w: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br/>
        <w:t>введения прикорма детям первого года жизни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8"/>
        <w:gridCol w:w="479"/>
        <w:gridCol w:w="505"/>
        <w:gridCol w:w="531"/>
        <w:gridCol w:w="1075"/>
        <w:gridCol w:w="1107"/>
        <w:gridCol w:w="648"/>
        <w:gridCol w:w="558"/>
        <w:gridCol w:w="545"/>
        <w:gridCol w:w="584"/>
      </w:tblGrid>
      <w:tr w:rsidR="00167ABD" w:rsidRPr="00F97BAF" w:rsidTr="00395E3E">
        <w:tc>
          <w:tcPr>
            <w:tcW w:w="3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Наименование продуктов и блюд (г,мл)</w:t>
            </w:r>
          </w:p>
        </w:tc>
        <w:tc>
          <w:tcPr>
            <w:tcW w:w="6585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Возраст (мес.)</w:t>
            </w:r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Овощное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Молочная каша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Фруктовое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Фруктовый сок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Творог</w:t>
            </w:r>
            <w:hyperlink r:id="rId48" w:anchor="sub_999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10-40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Желток ,шт.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Мясное пюре</w:t>
            </w:r>
            <w:hyperlink r:id="rId49" w:anchor="sub_999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60-70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Рыбное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30-60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Кефир и др. кисломол. напитки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Сухари, печенье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167ABD" w:rsidRPr="00F97BAF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Сливочное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______________________________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 не ранее 6 мес.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92B"/>
          <w:sz w:val="20"/>
          <w:szCs w:val="20"/>
          <w:lang w:eastAsia="ru-RU"/>
        </w:rPr>
      </w:pPr>
      <w:bookmarkStart w:id="24" w:name="sub_10016"/>
      <w:bookmarkEnd w:id="24"/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Приложение N 16</w:t>
      </w: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p w:rsidR="00167ABD" w:rsidRPr="00395E3E" w:rsidRDefault="00167ABD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hAnsi="Arial" w:cs="Arial"/>
          <w:b/>
          <w:bCs/>
          <w:color w:val="0B3541"/>
          <w:sz w:val="21"/>
          <w:szCs w:val="21"/>
          <w:lang w:eastAsia="ru-RU"/>
        </w:rPr>
        <w:t>Журнал здоровья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4"/>
        <w:gridCol w:w="2679"/>
        <w:gridCol w:w="1694"/>
        <w:gridCol w:w="506"/>
        <w:gridCol w:w="506"/>
        <w:gridCol w:w="506"/>
        <w:gridCol w:w="506"/>
        <w:gridCol w:w="519"/>
        <w:gridCol w:w="611"/>
        <w:gridCol w:w="493"/>
        <w:gridCol w:w="526"/>
      </w:tblGrid>
      <w:tr w:rsidR="00167ABD" w:rsidRPr="00F97BAF" w:rsidTr="00395E3E">
        <w:tc>
          <w:tcPr>
            <w:tcW w:w="93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Ф.И.О. работника</w:t>
            </w:r>
            <w:hyperlink r:id="rId50" w:anchor="sub_1611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5" w:type="dxa"/>
            <w:gridSpan w:val="8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after="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Месяц/дни</w:t>
            </w:r>
            <w:hyperlink r:id="rId51" w:anchor="sub_1612" w:history="1">
              <w:r w:rsidRPr="00395E3E">
                <w:rPr>
                  <w:rFonts w:ascii="Arial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167ABD" w:rsidRPr="00F97BAF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</w:tcPr>
          <w:p w:rsidR="00167ABD" w:rsidRPr="00395E3E" w:rsidRDefault="00167ABD" w:rsidP="00395E3E">
            <w:pPr>
              <w:spacing w:after="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</w:tr>
      <w:tr w:rsidR="00167ABD" w:rsidRPr="00F97BAF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jc w:val="center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167ABD" w:rsidRPr="00F97BAF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67ABD" w:rsidRPr="00395E3E" w:rsidRDefault="00167ABD" w:rsidP="00395E3E">
            <w:pPr>
              <w:spacing w:before="180" w:after="180" w:line="240" w:lineRule="auto"/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 Примечание: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** Условные обозначения:</w:t>
      </w:r>
    </w:p>
    <w:p w:rsidR="00167ABD" w:rsidRPr="00395E3E" w:rsidRDefault="00167ABD" w:rsidP="00395E3E">
      <w:pPr>
        <w:shd w:val="clear" w:color="auto" w:fill="FFFFFF"/>
        <w:spacing w:before="180" w:after="180" w:line="240" w:lineRule="auto"/>
        <w:rPr>
          <w:rFonts w:ascii="Arial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hAnsi="Arial" w:cs="Arial"/>
          <w:color w:val="22292B"/>
          <w:sz w:val="20"/>
          <w:szCs w:val="20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167ABD" w:rsidRDefault="00167ABD">
      <w:bookmarkStart w:id="25" w:name="_GoBack"/>
      <w:bookmarkEnd w:id="25"/>
    </w:p>
    <w:sectPr w:rsidR="00167ABD" w:rsidSect="003F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E4D"/>
    <w:multiLevelType w:val="multilevel"/>
    <w:tmpl w:val="4A0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D0E"/>
    <w:multiLevelType w:val="multilevel"/>
    <w:tmpl w:val="0F9E6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7FA4"/>
    <w:multiLevelType w:val="multilevel"/>
    <w:tmpl w:val="F96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CC3"/>
    <w:multiLevelType w:val="multilevel"/>
    <w:tmpl w:val="AD1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048A"/>
    <w:multiLevelType w:val="multilevel"/>
    <w:tmpl w:val="A67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750"/>
    <w:multiLevelType w:val="multilevel"/>
    <w:tmpl w:val="049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80503"/>
    <w:multiLevelType w:val="multilevel"/>
    <w:tmpl w:val="CD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D77D3"/>
    <w:multiLevelType w:val="multilevel"/>
    <w:tmpl w:val="3D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65187"/>
    <w:multiLevelType w:val="multilevel"/>
    <w:tmpl w:val="D77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C7A2D"/>
    <w:multiLevelType w:val="multilevel"/>
    <w:tmpl w:val="A39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27365"/>
    <w:multiLevelType w:val="multilevel"/>
    <w:tmpl w:val="508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C278D"/>
    <w:multiLevelType w:val="multilevel"/>
    <w:tmpl w:val="1A8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05DBA"/>
    <w:multiLevelType w:val="multilevel"/>
    <w:tmpl w:val="D08C3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4269D"/>
    <w:multiLevelType w:val="multilevel"/>
    <w:tmpl w:val="1C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364BB"/>
    <w:multiLevelType w:val="multilevel"/>
    <w:tmpl w:val="5E94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A6891"/>
    <w:multiLevelType w:val="multilevel"/>
    <w:tmpl w:val="B6F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61CDB"/>
    <w:multiLevelType w:val="multilevel"/>
    <w:tmpl w:val="554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766FF"/>
    <w:multiLevelType w:val="multilevel"/>
    <w:tmpl w:val="1EF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7052B"/>
    <w:multiLevelType w:val="multilevel"/>
    <w:tmpl w:val="E6E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E78F3"/>
    <w:multiLevelType w:val="multilevel"/>
    <w:tmpl w:val="9304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C57"/>
    <w:multiLevelType w:val="multilevel"/>
    <w:tmpl w:val="B5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F45D2"/>
    <w:multiLevelType w:val="multilevel"/>
    <w:tmpl w:val="8EE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157AC"/>
    <w:multiLevelType w:val="multilevel"/>
    <w:tmpl w:val="593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11675"/>
    <w:multiLevelType w:val="multilevel"/>
    <w:tmpl w:val="684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D73D0"/>
    <w:multiLevelType w:val="multilevel"/>
    <w:tmpl w:val="863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C55CB"/>
    <w:multiLevelType w:val="multilevel"/>
    <w:tmpl w:val="04C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8475D"/>
    <w:multiLevelType w:val="multilevel"/>
    <w:tmpl w:val="04D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948BD"/>
    <w:multiLevelType w:val="multilevel"/>
    <w:tmpl w:val="8E7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D22AF"/>
    <w:multiLevelType w:val="multilevel"/>
    <w:tmpl w:val="842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"/>
  </w:num>
  <w:num w:numId="7">
    <w:abstractNumId w:val="23"/>
  </w:num>
  <w:num w:numId="8">
    <w:abstractNumId w:val="22"/>
  </w:num>
  <w:num w:numId="9">
    <w:abstractNumId w:val="11"/>
  </w:num>
  <w:num w:numId="10">
    <w:abstractNumId w:val="20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10"/>
  </w:num>
  <w:num w:numId="16">
    <w:abstractNumId w:val="4"/>
  </w:num>
  <w:num w:numId="17">
    <w:abstractNumId w:val="5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6"/>
  </w:num>
  <w:num w:numId="23">
    <w:abstractNumId w:val="28"/>
  </w:num>
  <w:num w:numId="24">
    <w:abstractNumId w:val="0"/>
  </w:num>
  <w:num w:numId="25">
    <w:abstractNumId w:val="24"/>
  </w:num>
  <w:num w:numId="26">
    <w:abstractNumId w:val="7"/>
  </w:num>
  <w:num w:numId="27">
    <w:abstractNumId w:val="18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C6E"/>
    <w:rsid w:val="000006AE"/>
    <w:rsid w:val="0000439C"/>
    <w:rsid w:val="00014308"/>
    <w:rsid w:val="00015131"/>
    <w:rsid w:val="000202E8"/>
    <w:rsid w:val="000261D2"/>
    <w:rsid w:val="000304A0"/>
    <w:rsid w:val="00037134"/>
    <w:rsid w:val="000378DE"/>
    <w:rsid w:val="000442B1"/>
    <w:rsid w:val="00047EC3"/>
    <w:rsid w:val="00061F2B"/>
    <w:rsid w:val="00063034"/>
    <w:rsid w:val="00073A30"/>
    <w:rsid w:val="00083A65"/>
    <w:rsid w:val="00086E23"/>
    <w:rsid w:val="0009278E"/>
    <w:rsid w:val="000952D9"/>
    <w:rsid w:val="000A288A"/>
    <w:rsid w:val="000A41BD"/>
    <w:rsid w:val="000A6D96"/>
    <w:rsid w:val="000B1E02"/>
    <w:rsid w:val="000B32E9"/>
    <w:rsid w:val="000C563B"/>
    <w:rsid w:val="000E0B98"/>
    <w:rsid w:val="000E1DDC"/>
    <w:rsid w:val="000E48B9"/>
    <w:rsid w:val="000E5B45"/>
    <w:rsid w:val="000F3F46"/>
    <w:rsid w:val="00104931"/>
    <w:rsid w:val="00112F94"/>
    <w:rsid w:val="00114947"/>
    <w:rsid w:val="00130BC9"/>
    <w:rsid w:val="00136C6A"/>
    <w:rsid w:val="001530A3"/>
    <w:rsid w:val="00154509"/>
    <w:rsid w:val="00161714"/>
    <w:rsid w:val="00167ABD"/>
    <w:rsid w:val="001705CF"/>
    <w:rsid w:val="001814B3"/>
    <w:rsid w:val="00184662"/>
    <w:rsid w:val="001909C6"/>
    <w:rsid w:val="00192EA1"/>
    <w:rsid w:val="00195B38"/>
    <w:rsid w:val="001A0724"/>
    <w:rsid w:val="001A1A56"/>
    <w:rsid w:val="001A4E70"/>
    <w:rsid w:val="001B0BB8"/>
    <w:rsid w:val="001B7168"/>
    <w:rsid w:val="001C3F37"/>
    <w:rsid w:val="001C6017"/>
    <w:rsid w:val="001D21D6"/>
    <w:rsid w:val="001D5789"/>
    <w:rsid w:val="001E210F"/>
    <w:rsid w:val="001E50A7"/>
    <w:rsid w:val="001F546E"/>
    <w:rsid w:val="001F5DE8"/>
    <w:rsid w:val="001F67A3"/>
    <w:rsid w:val="00210546"/>
    <w:rsid w:val="00214BB8"/>
    <w:rsid w:val="00221D0C"/>
    <w:rsid w:val="00243467"/>
    <w:rsid w:val="00245E6E"/>
    <w:rsid w:val="0024756D"/>
    <w:rsid w:val="00253D42"/>
    <w:rsid w:val="0025407F"/>
    <w:rsid w:val="002542EE"/>
    <w:rsid w:val="0025476E"/>
    <w:rsid w:val="00254C2E"/>
    <w:rsid w:val="00274E4C"/>
    <w:rsid w:val="0027675B"/>
    <w:rsid w:val="0027703F"/>
    <w:rsid w:val="002841A2"/>
    <w:rsid w:val="00284435"/>
    <w:rsid w:val="00286B94"/>
    <w:rsid w:val="002916F7"/>
    <w:rsid w:val="002942FD"/>
    <w:rsid w:val="002A1688"/>
    <w:rsid w:val="002B1B9F"/>
    <w:rsid w:val="002B341A"/>
    <w:rsid w:val="002B34AC"/>
    <w:rsid w:val="002B6C17"/>
    <w:rsid w:val="002C2D1F"/>
    <w:rsid w:val="002D7A38"/>
    <w:rsid w:val="002E2D8A"/>
    <w:rsid w:val="002E3422"/>
    <w:rsid w:val="002E482D"/>
    <w:rsid w:val="002E52F1"/>
    <w:rsid w:val="002F1C8B"/>
    <w:rsid w:val="002F31B4"/>
    <w:rsid w:val="002F3B1D"/>
    <w:rsid w:val="002F40EC"/>
    <w:rsid w:val="002F4CD4"/>
    <w:rsid w:val="003005FE"/>
    <w:rsid w:val="0030755F"/>
    <w:rsid w:val="00313156"/>
    <w:rsid w:val="00313256"/>
    <w:rsid w:val="00314C28"/>
    <w:rsid w:val="00320265"/>
    <w:rsid w:val="00331104"/>
    <w:rsid w:val="00333D68"/>
    <w:rsid w:val="00335519"/>
    <w:rsid w:val="00347C2F"/>
    <w:rsid w:val="00352933"/>
    <w:rsid w:val="00354C97"/>
    <w:rsid w:val="00354D47"/>
    <w:rsid w:val="00356C20"/>
    <w:rsid w:val="003606C9"/>
    <w:rsid w:val="0036454C"/>
    <w:rsid w:val="00366022"/>
    <w:rsid w:val="00372DF5"/>
    <w:rsid w:val="0037410B"/>
    <w:rsid w:val="003745A1"/>
    <w:rsid w:val="00385187"/>
    <w:rsid w:val="00390D6F"/>
    <w:rsid w:val="00391123"/>
    <w:rsid w:val="0039128E"/>
    <w:rsid w:val="00395E3E"/>
    <w:rsid w:val="003A0054"/>
    <w:rsid w:val="003A3C0D"/>
    <w:rsid w:val="003A4FD8"/>
    <w:rsid w:val="003B06B3"/>
    <w:rsid w:val="003B264A"/>
    <w:rsid w:val="003B529A"/>
    <w:rsid w:val="003C4877"/>
    <w:rsid w:val="003D5426"/>
    <w:rsid w:val="003E517E"/>
    <w:rsid w:val="003E53E3"/>
    <w:rsid w:val="003F2F6D"/>
    <w:rsid w:val="003F470C"/>
    <w:rsid w:val="003F7593"/>
    <w:rsid w:val="0040666D"/>
    <w:rsid w:val="00406C2C"/>
    <w:rsid w:val="0041213E"/>
    <w:rsid w:val="004205FE"/>
    <w:rsid w:val="004263D2"/>
    <w:rsid w:val="00436989"/>
    <w:rsid w:val="00446EC2"/>
    <w:rsid w:val="0045402B"/>
    <w:rsid w:val="00455F54"/>
    <w:rsid w:val="00462304"/>
    <w:rsid w:val="00463F72"/>
    <w:rsid w:val="0046436B"/>
    <w:rsid w:val="0049180E"/>
    <w:rsid w:val="00491B9A"/>
    <w:rsid w:val="0049333C"/>
    <w:rsid w:val="00497C5C"/>
    <w:rsid w:val="004B6311"/>
    <w:rsid w:val="004B7127"/>
    <w:rsid w:val="004C19AE"/>
    <w:rsid w:val="004C2496"/>
    <w:rsid w:val="004D16B8"/>
    <w:rsid w:val="004E4F2C"/>
    <w:rsid w:val="004F2E0B"/>
    <w:rsid w:val="004F3C43"/>
    <w:rsid w:val="004F5641"/>
    <w:rsid w:val="004F56F7"/>
    <w:rsid w:val="00500E41"/>
    <w:rsid w:val="0050336E"/>
    <w:rsid w:val="005109F8"/>
    <w:rsid w:val="00510E23"/>
    <w:rsid w:val="0051264A"/>
    <w:rsid w:val="00531446"/>
    <w:rsid w:val="00550E48"/>
    <w:rsid w:val="00553134"/>
    <w:rsid w:val="00557B5B"/>
    <w:rsid w:val="00557EC4"/>
    <w:rsid w:val="00561DF5"/>
    <w:rsid w:val="00573377"/>
    <w:rsid w:val="00574651"/>
    <w:rsid w:val="00574BC4"/>
    <w:rsid w:val="005762AF"/>
    <w:rsid w:val="0058092F"/>
    <w:rsid w:val="00582978"/>
    <w:rsid w:val="00586B49"/>
    <w:rsid w:val="00587C64"/>
    <w:rsid w:val="0059527E"/>
    <w:rsid w:val="005A0977"/>
    <w:rsid w:val="005A239E"/>
    <w:rsid w:val="005A2C11"/>
    <w:rsid w:val="005A4E8D"/>
    <w:rsid w:val="005B3A8F"/>
    <w:rsid w:val="005B3B73"/>
    <w:rsid w:val="005B40AB"/>
    <w:rsid w:val="005B4142"/>
    <w:rsid w:val="005B7976"/>
    <w:rsid w:val="005D0FAB"/>
    <w:rsid w:val="005D1315"/>
    <w:rsid w:val="005D2195"/>
    <w:rsid w:val="005F1437"/>
    <w:rsid w:val="005F3E67"/>
    <w:rsid w:val="005F78E5"/>
    <w:rsid w:val="00601410"/>
    <w:rsid w:val="0060598E"/>
    <w:rsid w:val="00606D00"/>
    <w:rsid w:val="006111AF"/>
    <w:rsid w:val="00612816"/>
    <w:rsid w:val="0061617F"/>
    <w:rsid w:val="0061798F"/>
    <w:rsid w:val="00622D4F"/>
    <w:rsid w:val="00631BB2"/>
    <w:rsid w:val="00641E63"/>
    <w:rsid w:val="00644B94"/>
    <w:rsid w:val="0066272B"/>
    <w:rsid w:val="006660F0"/>
    <w:rsid w:val="00666F9E"/>
    <w:rsid w:val="00675A9E"/>
    <w:rsid w:val="00680F72"/>
    <w:rsid w:val="00681D1B"/>
    <w:rsid w:val="006868DF"/>
    <w:rsid w:val="00687E92"/>
    <w:rsid w:val="00697699"/>
    <w:rsid w:val="006A3F82"/>
    <w:rsid w:val="006A669A"/>
    <w:rsid w:val="006A7AF3"/>
    <w:rsid w:val="006B00CF"/>
    <w:rsid w:val="006B4136"/>
    <w:rsid w:val="006C5D88"/>
    <w:rsid w:val="006C7A08"/>
    <w:rsid w:val="006D0271"/>
    <w:rsid w:val="006D3116"/>
    <w:rsid w:val="006E4F3B"/>
    <w:rsid w:val="006E73EC"/>
    <w:rsid w:val="006F7C28"/>
    <w:rsid w:val="00701658"/>
    <w:rsid w:val="0071632E"/>
    <w:rsid w:val="00722AF7"/>
    <w:rsid w:val="00723463"/>
    <w:rsid w:val="00725047"/>
    <w:rsid w:val="00727DA0"/>
    <w:rsid w:val="00733B4A"/>
    <w:rsid w:val="00734DF6"/>
    <w:rsid w:val="00740641"/>
    <w:rsid w:val="00742424"/>
    <w:rsid w:val="007509EA"/>
    <w:rsid w:val="00750D41"/>
    <w:rsid w:val="007512DC"/>
    <w:rsid w:val="00752C79"/>
    <w:rsid w:val="00763B1C"/>
    <w:rsid w:val="0076732C"/>
    <w:rsid w:val="0077264D"/>
    <w:rsid w:val="00777A65"/>
    <w:rsid w:val="00777B9F"/>
    <w:rsid w:val="00783A68"/>
    <w:rsid w:val="00785DED"/>
    <w:rsid w:val="00790DAE"/>
    <w:rsid w:val="00796516"/>
    <w:rsid w:val="007A2EBF"/>
    <w:rsid w:val="007B4D8D"/>
    <w:rsid w:val="007C0F49"/>
    <w:rsid w:val="007C72F4"/>
    <w:rsid w:val="007D0B85"/>
    <w:rsid w:val="007D1329"/>
    <w:rsid w:val="007D47F6"/>
    <w:rsid w:val="007D7A5F"/>
    <w:rsid w:val="007E239E"/>
    <w:rsid w:val="007E61EB"/>
    <w:rsid w:val="007F29F1"/>
    <w:rsid w:val="007F4A09"/>
    <w:rsid w:val="00800FBD"/>
    <w:rsid w:val="00804997"/>
    <w:rsid w:val="00805EA0"/>
    <w:rsid w:val="00807290"/>
    <w:rsid w:val="00814962"/>
    <w:rsid w:val="00816C71"/>
    <w:rsid w:val="008178F1"/>
    <w:rsid w:val="00820422"/>
    <w:rsid w:val="008371AB"/>
    <w:rsid w:val="008400CC"/>
    <w:rsid w:val="00846D85"/>
    <w:rsid w:val="00846F53"/>
    <w:rsid w:val="008700EF"/>
    <w:rsid w:val="00871168"/>
    <w:rsid w:val="00874E5A"/>
    <w:rsid w:val="00880452"/>
    <w:rsid w:val="0088440F"/>
    <w:rsid w:val="00895737"/>
    <w:rsid w:val="008A6E64"/>
    <w:rsid w:val="008B1206"/>
    <w:rsid w:val="008B69E6"/>
    <w:rsid w:val="008B7757"/>
    <w:rsid w:val="008C7E5F"/>
    <w:rsid w:val="008D5815"/>
    <w:rsid w:val="008E18A3"/>
    <w:rsid w:val="008F5790"/>
    <w:rsid w:val="008F67E3"/>
    <w:rsid w:val="008F6D87"/>
    <w:rsid w:val="0090306D"/>
    <w:rsid w:val="00905E22"/>
    <w:rsid w:val="00913C6E"/>
    <w:rsid w:val="00916A32"/>
    <w:rsid w:val="00920994"/>
    <w:rsid w:val="00921E3B"/>
    <w:rsid w:val="0092469E"/>
    <w:rsid w:val="00925DA9"/>
    <w:rsid w:val="00945244"/>
    <w:rsid w:val="00954C31"/>
    <w:rsid w:val="009672F9"/>
    <w:rsid w:val="009746F7"/>
    <w:rsid w:val="009759DC"/>
    <w:rsid w:val="00976A6F"/>
    <w:rsid w:val="009772DB"/>
    <w:rsid w:val="0098137D"/>
    <w:rsid w:val="0099020B"/>
    <w:rsid w:val="0099332A"/>
    <w:rsid w:val="00995C69"/>
    <w:rsid w:val="009A4C4E"/>
    <w:rsid w:val="009A4C7B"/>
    <w:rsid w:val="009B3BB0"/>
    <w:rsid w:val="009B5BE3"/>
    <w:rsid w:val="009C1807"/>
    <w:rsid w:val="009D10F9"/>
    <w:rsid w:val="009D1322"/>
    <w:rsid w:val="009D550D"/>
    <w:rsid w:val="009D67F8"/>
    <w:rsid w:val="009E7F32"/>
    <w:rsid w:val="009F02E9"/>
    <w:rsid w:val="00A12A88"/>
    <w:rsid w:val="00A12E5A"/>
    <w:rsid w:val="00A24BDB"/>
    <w:rsid w:val="00A31AA3"/>
    <w:rsid w:val="00A347AB"/>
    <w:rsid w:val="00A354CA"/>
    <w:rsid w:val="00A455F2"/>
    <w:rsid w:val="00A45F7A"/>
    <w:rsid w:val="00A4657D"/>
    <w:rsid w:val="00A53404"/>
    <w:rsid w:val="00A55397"/>
    <w:rsid w:val="00A62268"/>
    <w:rsid w:val="00A73E56"/>
    <w:rsid w:val="00A74156"/>
    <w:rsid w:val="00A74205"/>
    <w:rsid w:val="00A778FA"/>
    <w:rsid w:val="00A77E53"/>
    <w:rsid w:val="00A82DDD"/>
    <w:rsid w:val="00A8577F"/>
    <w:rsid w:val="00A87431"/>
    <w:rsid w:val="00A91CBC"/>
    <w:rsid w:val="00A9228B"/>
    <w:rsid w:val="00A96DC1"/>
    <w:rsid w:val="00AA6047"/>
    <w:rsid w:val="00AB510E"/>
    <w:rsid w:val="00AB6241"/>
    <w:rsid w:val="00AC1903"/>
    <w:rsid w:val="00AC2AA0"/>
    <w:rsid w:val="00AC5F04"/>
    <w:rsid w:val="00AD4849"/>
    <w:rsid w:val="00AD58CC"/>
    <w:rsid w:val="00AE0843"/>
    <w:rsid w:val="00AE0C8A"/>
    <w:rsid w:val="00AE4C08"/>
    <w:rsid w:val="00AE7B45"/>
    <w:rsid w:val="00AF067C"/>
    <w:rsid w:val="00AF3A90"/>
    <w:rsid w:val="00B01703"/>
    <w:rsid w:val="00B04300"/>
    <w:rsid w:val="00B137E4"/>
    <w:rsid w:val="00B23B40"/>
    <w:rsid w:val="00B24113"/>
    <w:rsid w:val="00B31AF8"/>
    <w:rsid w:val="00B36A40"/>
    <w:rsid w:val="00B40F0E"/>
    <w:rsid w:val="00B4285B"/>
    <w:rsid w:val="00B44390"/>
    <w:rsid w:val="00B47540"/>
    <w:rsid w:val="00B61F57"/>
    <w:rsid w:val="00B66CBD"/>
    <w:rsid w:val="00B7042A"/>
    <w:rsid w:val="00B73CEB"/>
    <w:rsid w:val="00B8235A"/>
    <w:rsid w:val="00B83FA9"/>
    <w:rsid w:val="00B845C9"/>
    <w:rsid w:val="00B84E44"/>
    <w:rsid w:val="00B96EBE"/>
    <w:rsid w:val="00B97CFC"/>
    <w:rsid w:val="00BA08B1"/>
    <w:rsid w:val="00BA479D"/>
    <w:rsid w:val="00BB35C1"/>
    <w:rsid w:val="00BB435A"/>
    <w:rsid w:val="00BC264D"/>
    <w:rsid w:val="00BC6252"/>
    <w:rsid w:val="00BD225F"/>
    <w:rsid w:val="00BD27AD"/>
    <w:rsid w:val="00BD5754"/>
    <w:rsid w:val="00BE4BDA"/>
    <w:rsid w:val="00BE5467"/>
    <w:rsid w:val="00BE63A3"/>
    <w:rsid w:val="00BE6932"/>
    <w:rsid w:val="00BE707B"/>
    <w:rsid w:val="00BF091C"/>
    <w:rsid w:val="00C0147C"/>
    <w:rsid w:val="00C025BE"/>
    <w:rsid w:val="00C06270"/>
    <w:rsid w:val="00C12D40"/>
    <w:rsid w:val="00C14449"/>
    <w:rsid w:val="00C159E2"/>
    <w:rsid w:val="00C2305A"/>
    <w:rsid w:val="00C24024"/>
    <w:rsid w:val="00C36509"/>
    <w:rsid w:val="00C40960"/>
    <w:rsid w:val="00C4143C"/>
    <w:rsid w:val="00C50E1B"/>
    <w:rsid w:val="00C5277F"/>
    <w:rsid w:val="00C5403F"/>
    <w:rsid w:val="00C57D94"/>
    <w:rsid w:val="00C6440F"/>
    <w:rsid w:val="00C714E4"/>
    <w:rsid w:val="00C733D3"/>
    <w:rsid w:val="00C76EFA"/>
    <w:rsid w:val="00C84042"/>
    <w:rsid w:val="00C85D6F"/>
    <w:rsid w:val="00C87E2F"/>
    <w:rsid w:val="00C90439"/>
    <w:rsid w:val="00C94D58"/>
    <w:rsid w:val="00C94FFF"/>
    <w:rsid w:val="00C951A5"/>
    <w:rsid w:val="00C9748B"/>
    <w:rsid w:val="00CA05F8"/>
    <w:rsid w:val="00CA12A5"/>
    <w:rsid w:val="00CA3383"/>
    <w:rsid w:val="00CA3E70"/>
    <w:rsid w:val="00CA74E8"/>
    <w:rsid w:val="00CC273F"/>
    <w:rsid w:val="00CD6799"/>
    <w:rsid w:val="00CD7137"/>
    <w:rsid w:val="00CD731F"/>
    <w:rsid w:val="00CE34BD"/>
    <w:rsid w:val="00CF679B"/>
    <w:rsid w:val="00CF71CC"/>
    <w:rsid w:val="00D03177"/>
    <w:rsid w:val="00D05F89"/>
    <w:rsid w:val="00D20E94"/>
    <w:rsid w:val="00D31708"/>
    <w:rsid w:val="00D44224"/>
    <w:rsid w:val="00D45F73"/>
    <w:rsid w:val="00D546F5"/>
    <w:rsid w:val="00D631B5"/>
    <w:rsid w:val="00D663CF"/>
    <w:rsid w:val="00D6746A"/>
    <w:rsid w:val="00D74653"/>
    <w:rsid w:val="00D76898"/>
    <w:rsid w:val="00D77B48"/>
    <w:rsid w:val="00D81001"/>
    <w:rsid w:val="00D91916"/>
    <w:rsid w:val="00D9220E"/>
    <w:rsid w:val="00D93522"/>
    <w:rsid w:val="00D9774E"/>
    <w:rsid w:val="00DA0FD5"/>
    <w:rsid w:val="00DA2418"/>
    <w:rsid w:val="00DA2F22"/>
    <w:rsid w:val="00DB229C"/>
    <w:rsid w:val="00DB23F2"/>
    <w:rsid w:val="00DB36B2"/>
    <w:rsid w:val="00DC2B1B"/>
    <w:rsid w:val="00DC6F79"/>
    <w:rsid w:val="00DD04F8"/>
    <w:rsid w:val="00DD654F"/>
    <w:rsid w:val="00DD71D5"/>
    <w:rsid w:val="00DE48CC"/>
    <w:rsid w:val="00DE525B"/>
    <w:rsid w:val="00DE5558"/>
    <w:rsid w:val="00DF0B9C"/>
    <w:rsid w:val="00DF6BB2"/>
    <w:rsid w:val="00DF6E1F"/>
    <w:rsid w:val="00E004B0"/>
    <w:rsid w:val="00E00BDC"/>
    <w:rsid w:val="00E019C7"/>
    <w:rsid w:val="00E050D3"/>
    <w:rsid w:val="00E078C3"/>
    <w:rsid w:val="00E10303"/>
    <w:rsid w:val="00E10E07"/>
    <w:rsid w:val="00E141F9"/>
    <w:rsid w:val="00E1739B"/>
    <w:rsid w:val="00E20AD6"/>
    <w:rsid w:val="00E308BF"/>
    <w:rsid w:val="00E321AD"/>
    <w:rsid w:val="00E55459"/>
    <w:rsid w:val="00E57960"/>
    <w:rsid w:val="00E608DC"/>
    <w:rsid w:val="00E61937"/>
    <w:rsid w:val="00E71041"/>
    <w:rsid w:val="00E810DC"/>
    <w:rsid w:val="00E85130"/>
    <w:rsid w:val="00EA123B"/>
    <w:rsid w:val="00EB3D60"/>
    <w:rsid w:val="00EC0755"/>
    <w:rsid w:val="00EC6E4B"/>
    <w:rsid w:val="00EC7285"/>
    <w:rsid w:val="00ED3669"/>
    <w:rsid w:val="00EE11EF"/>
    <w:rsid w:val="00EE19D3"/>
    <w:rsid w:val="00EE5CF2"/>
    <w:rsid w:val="00EE614E"/>
    <w:rsid w:val="00EE7C78"/>
    <w:rsid w:val="00EF0687"/>
    <w:rsid w:val="00EF16C2"/>
    <w:rsid w:val="00EF76D5"/>
    <w:rsid w:val="00F00E17"/>
    <w:rsid w:val="00F07368"/>
    <w:rsid w:val="00F142B3"/>
    <w:rsid w:val="00F14BB7"/>
    <w:rsid w:val="00F2087A"/>
    <w:rsid w:val="00F21EF0"/>
    <w:rsid w:val="00F231F6"/>
    <w:rsid w:val="00F26614"/>
    <w:rsid w:val="00F316F1"/>
    <w:rsid w:val="00F328A7"/>
    <w:rsid w:val="00F33D45"/>
    <w:rsid w:val="00F429BC"/>
    <w:rsid w:val="00F44D23"/>
    <w:rsid w:val="00F4634B"/>
    <w:rsid w:val="00F54475"/>
    <w:rsid w:val="00F61635"/>
    <w:rsid w:val="00F622E7"/>
    <w:rsid w:val="00F6449F"/>
    <w:rsid w:val="00F77FD4"/>
    <w:rsid w:val="00F81775"/>
    <w:rsid w:val="00F97BAF"/>
    <w:rsid w:val="00FA0A5B"/>
    <w:rsid w:val="00FA6CD4"/>
    <w:rsid w:val="00FB05DE"/>
    <w:rsid w:val="00FB32DB"/>
    <w:rsid w:val="00FB33BC"/>
    <w:rsid w:val="00FB3ABA"/>
    <w:rsid w:val="00FB7AAD"/>
    <w:rsid w:val="00FC1F3B"/>
    <w:rsid w:val="00FE2185"/>
    <w:rsid w:val="00FE63C9"/>
    <w:rsid w:val="00FE7D6A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9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39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9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395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95E3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E3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E3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95E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95E3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95E3E"/>
    <w:rPr>
      <w:rFonts w:cs="Times New Roman"/>
    </w:rPr>
  </w:style>
  <w:style w:type="paragraph" w:customStyle="1" w:styleId="af6">
    <w:name w:val="af6"/>
    <w:basedOn w:val="Normal"/>
    <w:uiPriority w:val="99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95E3E"/>
    <w:rPr>
      <w:rFonts w:cs="Times New Roman"/>
      <w:b/>
      <w:bCs/>
    </w:rPr>
  </w:style>
  <w:style w:type="paragraph" w:customStyle="1" w:styleId="aff4">
    <w:name w:val="aff4"/>
    <w:basedOn w:val="Normal"/>
    <w:uiPriority w:val="99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affd"/>
    <w:basedOn w:val="Normal"/>
    <w:uiPriority w:val="99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5">
    <w:name w:val="aff5"/>
    <w:basedOn w:val="Normal"/>
    <w:uiPriority w:val="99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6" Type="http://schemas.openxmlformats.org/officeDocument/2006/relationships/hyperlink" Target="http://ivo.garant.ru/document?id=3000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3" Type="http://schemas.openxmlformats.org/officeDocument/2006/relationships/hyperlink" Target="http://ivo.garant.ru/document?id=4092137&amp;sub=1000" TargetMode="External"/><Relationship Id="rId4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8" Type="http://schemas.openxmlformats.org/officeDocument/2006/relationships/hyperlink" Target="http://ivo.garant.ru/document?id=4079328&amp;sub=10000" TargetMode="External"/><Relationship Id="rId5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57</Pages>
  <Words>23023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Шешкаускене</dc:creator>
  <cp:keywords/>
  <dc:description/>
  <cp:lastModifiedBy>Админ</cp:lastModifiedBy>
  <cp:revision>5</cp:revision>
  <cp:lastPrinted>2018-01-22T07:29:00Z</cp:lastPrinted>
  <dcterms:created xsi:type="dcterms:W3CDTF">2016-09-03T14:17:00Z</dcterms:created>
  <dcterms:modified xsi:type="dcterms:W3CDTF">2018-03-22T05:35:00Z</dcterms:modified>
</cp:coreProperties>
</file>